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BA" w:rsidRPr="00ED78BA" w:rsidRDefault="00ED78BA" w:rsidP="00ED78BA">
      <w:pPr>
        <w:tabs>
          <w:tab w:val="center" w:pos="4536"/>
          <w:tab w:val="right" w:pos="9072"/>
        </w:tabs>
        <w:spacing w:before="120" w:line="312" w:lineRule="auto"/>
        <w:jc w:val="right"/>
        <w:rPr>
          <w:rFonts w:eastAsia="Calibri"/>
          <w:b/>
          <w:i/>
          <w:szCs w:val="20"/>
          <w:lang w:eastAsia="en-US"/>
        </w:rPr>
      </w:pPr>
      <w:r w:rsidRPr="00ED78BA">
        <w:rPr>
          <w:rFonts w:eastAsia="Calibri"/>
          <w:b/>
          <w:i/>
          <w:szCs w:val="20"/>
          <w:lang w:eastAsia="en-US"/>
        </w:rPr>
        <w:t>Приложение К</w:t>
      </w:r>
    </w:p>
    <w:p w:rsidR="00ED78BA" w:rsidRPr="00ED78BA" w:rsidRDefault="00ED78BA" w:rsidP="00ED78BA">
      <w:pPr>
        <w:spacing w:before="120" w:line="312" w:lineRule="auto"/>
        <w:jc w:val="center"/>
        <w:rPr>
          <w:rFonts w:eastAsiaTheme="minorHAnsi"/>
          <w:b/>
          <w:szCs w:val="20"/>
          <w:lang w:eastAsia="en-US"/>
        </w:rPr>
      </w:pPr>
      <w:r w:rsidRPr="00ED78BA">
        <w:rPr>
          <w:rFonts w:eastAsiaTheme="minorHAnsi"/>
          <w:b/>
          <w:szCs w:val="20"/>
          <w:lang w:eastAsia="en-US"/>
        </w:rPr>
        <w:t>ИНФОРМАЦИЯ ОТНОСНО СПАЗВАНЕ НА ПРИНЦИПА ЗА „НЕНАНАСЯНЕ НА ЗНАЧИТЕЛНИ ВРЕДИ“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Регламентът за създаване на Механизъм за възстановяване и устойчивост (МВУ) предвижда, че нито една мярка, включена в плановете за възстановяване и устойчивост на държавите-членки, не трябва да води до значителни вреди за екологичните цели по смисъла на Регламент (ЕС) 2020/852 на Европейския парламент и на Съвета от 18 юни 2020 година за създаване на рамка за улесняване на устойчивите инвестиции и за изменение на Регламент (ЕС) 2019/2088 (Регламента за таксономията).</w:t>
      </w:r>
      <w:r w:rsidRPr="00ED78BA">
        <w:rPr>
          <w:szCs w:val="20"/>
          <w:lang w:eastAsia="en-US"/>
        </w:rPr>
        <w:t xml:space="preserve"> </w:t>
      </w:r>
      <w:r w:rsidRPr="00ED78BA">
        <w:rPr>
          <w:rFonts w:eastAsiaTheme="minorHAnsi"/>
          <w:szCs w:val="20"/>
          <w:lang w:eastAsia="en-US"/>
        </w:rPr>
        <w:t xml:space="preserve">На база посоченото, всички мерки, включени в Националния план за възстановяване и устойчивост на България (НПВУ), включително тези, предвидени по Инвестиция 2 </w:t>
      </w:r>
      <w:bookmarkStart w:id="0" w:name="_GoBack"/>
      <w:bookmarkEnd w:id="0"/>
      <w:r w:rsidRPr="00ED78BA">
        <w:rPr>
          <w:rFonts w:eastAsiaTheme="minorHAnsi"/>
          <w:szCs w:val="20"/>
          <w:lang w:eastAsia="en-US"/>
        </w:rPr>
        <w:t xml:space="preserve">(C4.I2): „Подкрепа за енергия от възобновяеми източници за домакинствата“, следва да допринасят за екологичния преход като отчитат </w:t>
      </w:r>
      <w:r w:rsidRPr="00ED78BA">
        <w:rPr>
          <w:rFonts w:eastAsiaTheme="minorHAnsi"/>
          <w:b/>
          <w:szCs w:val="20"/>
          <w:lang w:eastAsia="en-US"/>
        </w:rPr>
        <w:t>шестте екологични цели</w:t>
      </w:r>
      <w:r w:rsidRPr="00ED78BA">
        <w:rPr>
          <w:rFonts w:eastAsiaTheme="minorHAnsi"/>
          <w:szCs w:val="20"/>
          <w:lang w:eastAsia="en-US"/>
        </w:rPr>
        <w:t>, заложени в чл. 9 от Регламента за таксономията: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1) смекчаване на изменението на климата;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2) адаптиране към изменението на климата;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3) устойчиво използване и опазване на водните и морските ресурси;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4) преход към кръгова икономика;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5) предотвратяване и контрол на замърсяването;</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6) защита и възстановяване на биологичното разнообразие и екосистемите.</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В тази връзка, всяка една инвестиция по НПВУ следва да бъде в съответствие с принципа за „ненанасяне на значителни вреди“.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xml:space="preserve">За целите на Регламента за МВУ принципът за „ненанасяне на значителни вреди“ трябва да се тълкува по смисъла на чл. 17 от Регламента за таксономията, в който се определя какво представлява „значителна вреда“ за шестте екологични цели, обхванати в него. В тази връзка, като се отчита целият жизнен цикъл на продуктите и услугите, предоставяни посредством дадена икономическа дейност, се приема, че дейността нанася значителни вреди за някой от шестте екологични цели, и съответно </w:t>
      </w:r>
      <w:r w:rsidRPr="00ED78BA">
        <w:rPr>
          <w:rFonts w:eastAsiaTheme="minorHAnsi"/>
          <w:b/>
          <w:szCs w:val="20"/>
          <w:lang w:eastAsia="en-US"/>
        </w:rPr>
        <w:t>НЕ е налице спазването на принципа за „ненанасяне на значителни вреди“</w:t>
      </w:r>
      <w:r w:rsidRPr="00ED78BA">
        <w:rPr>
          <w:rFonts w:eastAsiaTheme="minorHAnsi"/>
          <w:szCs w:val="20"/>
          <w:lang w:eastAsia="en-US"/>
        </w:rPr>
        <w:t>, ако при: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1) смекчаването на изменението на климата</w:t>
      </w:r>
      <w:r w:rsidRPr="00ED78BA">
        <w:rPr>
          <w:rFonts w:eastAsiaTheme="minorHAnsi"/>
          <w:szCs w:val="20"/>
          <w:lang w:eastAsia="en-US"/>
        </w:rPr>
        <w:t>, когато тази дейност води до значителни емисии на парникови газове;</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lastRenderedPageBreak/>
        <w:t>2) адаптирането към изменението на климата</w:t>
      </w:r>
      <w:r w:rsidRPr="00ED78BA">
        <w:rPr>
          <w:rFonts w:eastAsiaTheme="minorHAnsi"/>
          <w:szCs w:val="20"/>
          <w:lang w:eastAsia="en-US"/>
        </w:rPr>
        <w:t>, когато тази дейност води до увеличаване на неблагоприятното въздействие на настоящия климат и на очаквания бъдещ климат върху самата дейност, или върху населението, природата или активите;</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3) устойчивото използване и опазването на водните и морските ресурси</w:t>
      </w:r>
      <w:r w:rsidRPr="00ED78BA">
        <w:rPr>
          <w:rFonts w:eastAsiaTheme="minorHAnsi"/>
          <w:szCs w:val="20"/>
          <w:lang w:eastAsia="en-US"/>
        </w:rPr>
        <w:t>, когато тази дейност влошава: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доброто състояние или добрия екологичен потенциал на водните обекти, включително на повърхностните и подземните води; или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доброто екологично състояние на морските води;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4) кръговата икономика</w:t>
      </w:r>
      <w:r w:rsidRPr="00ED78BA">
        <w:rPr>
          <w:rFonts w:eastAsiaTheme="minorHAnsi"/>
          <w:szCs w:val="20"/>
          <w:lang w:eastAsia="en-US"/>
        </w:rPr>
        <w:t xml:space="preserve">, </w:t>
      </w:r>
      <w:r w:rsidRPr="00ED78BA">
        <w:rPr>
          <w:rFonts w:eastAsiaTheme="minorHAnsi"/>
          <w:b/>
          <w:szCs w:val="20"/>
          <w:lang w:eastAsia="en-US"/>
        </w:rPr>
        <w:t>включително предотвратяването на образуването на отпадъци и тяхното рециклиране</w:t>
      </w:r>
      <w:r w:rsidRPr="00ED78BA">
        <w:rPr>
          <w:rFonts w:eastAsiaTheme="minorHAnsi"/>
          <w:szCs w:val="20"/>
          <w:lang w:eastAsia="en-US"/>
        </w:rPr>
        <w:t>, когато:</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тази дейност води до значителна неефективност при използването на материали или при прякото или непряко използване на природни ресурси като невъзобновяеми източници на енергия, суровини, вода и земя, на един или повече етапи от жизнения цикъл на продуктите, включително по отношение на трайността и на възможностите за поправка, осъвременяването, повторната употреба или рециклирането на продуктите;</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тази дейност води до значително увеличаване на образуването, изгарянето или обезвреждането на отпадъци, с изключение на изгарянето на нерециклируеми опасни отпадъци; или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дългосрочното обезвреждане на отпадъци може да причини значителни и дългосрочни вреди на околната среда;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5) предотвратяването и контрола на замърсяването</w:t>
      </w:r>
      <w:r w:rsidRPr="00ED78BA">
        <w:rPr>
          <w:rFonts w:eastAsiaTheme="minorHAnsi"/>
          <w:szCs w:val="20"/>
          <w:lang w:eastAsia="en-US"/>
        </w:rPr>
        <w:t>, когато тази дейност води до значително увеличение на емисиите на замърсители във въздуха, водата или почвата в сравнение с положението преди започването на дейността; или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6) защитата и възстановяването на биологичното разнообразие и екосистемите</w:t>
      </w:r>
      <w:r w:rsidRPr="00ED78BA">
        <w:rPr>
          <w:rFonts w:eastAsiaTheme="minorHAnsi"/>
          <w:szCs w:val="20"/>
          <w:lang w:eastAsia="en-US"/>
        </w:rPr>
        <w:t>, когато тази дейност:</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влошава в значителна степен доброто състояние и устойчивостта на екосистемите; или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влошава природозащитния статус на местообитанията и видовете, включително тези от интерес за Съюза.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Във връзка с ограниченията, посочени в Приложението към Решението, с което е одобрена оценката на Плана за възстановяване и устойчивост на България, и с оглед съответствие на Инвестиция 2 (C4.I2): Подкрепа за енергия от възобновяеми източници за домакинствата“ с Известие на Комисията – „Технически насоки за прилагането на принципа за „ненанасяне на значителни вреди“ съгласно Регламента за Механизма за възстановяване и устойчивост (2021/C58/01)“, и гарантиране в максимална степен на спазването на принципа за „ненанасяне на значителни вреди“, за целите на настоящата процедура няма да се подкрепят:</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lastRenderedPageBreak/>
        <w:t xml:space="preserve">- дейностите и активите, свързани с изкопаеми горива, включително използване надолу по веригата; </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дейностите и активите по схемата на ЕС за търговия с емисии;</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дейностите и активите, свързани със сметища, инсталации за изгаряне на отпадъци</w:t>
      </w:r>
      <w:r w:rsidRPr="00ED78BA">
        <w:rPr>
          <w:rFonts w:eastAsiaTheme="minorHAnsi"/>
          <w:szCs w:val="20"/>
          <w:vertAlign w:val="superscript"/>
          <w:lang w:val="en-US" w:eastAsia="en-US"/>
        </w:rPr>
        <w:footnoteReference w:id="1"/>
      </w:r>
      <w:r w:rsidRPr="00ED78BA">
        <w:rPr>
          <w:rFonts w:eastAsiaTheme="minorHAnsi"/>
          <w:szCs w:val="20"/>
          <w:lang w:eastAsia="en-US"/>
        </w:rPr>
        <w:t xml:space="preserve"> и заводи за механично-биологично третиране</w:t>
      </w:r>
      <w:r w:rsidRPr="00ED78BA">
        <w:rPr>
          <w:rFonts w:eastAsiaTheme="minorHAnsi"/>
          <w:szCs w:val="20"/>
          <w:vertAlign w:val="superscript"/>
          <w:lang w:val="en-US" w:eastAsia="en-US"/>
        </w:rPr>
        <w:footnoteReference w:id="2"/>
      </w:r>
      <w:r w:rsidRPr="00ED78BA">
        <w:rPr>
          <w:rFonts w:eastAsiaTheme="minorHAnsi"/>
          <w:szCs w:val="20"/>
          <w:lang w:eastAsia="en-US"/>
        </w:rPr>
        <w:t>;</w:t>
      </w:r>
    </w:p>
    <w:p w:rsidR="00ED78BA" w:rsidRPr="00ED78BA" w:rsidRDefault="00ED78BA" w:rsidP="00ED78BA">
      <w:pPr>
        <w:spacing w:before="120" w:line="312" w:lineRule="auto"/>
        <w:ind w:firstLine="709"/>
        <w:rPr>
          <w:rFonts w:eastAsiaTheme="minorHAnsi"/>
          <w:szCs w:val="20"/>
          <w:lang w:val="en-US" w:eastAsia="en-US"/>
        </w:rPr>
      </w:pPr>
      <w:r w:rsidRPr="00ED78BA">
        <w:rPr>
          <w:rFonts w:eastAsiaTheme="minorHAnsi"/>
          <w:szCs w:val="20"/>
          <w:lang w:eastAsia="en-US"/>
        </w:rPr>
        <w:t>- дейностите и активите, при които дългосрочното обезвреждане на отпадъци може да причини вреда на околната среда.</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 xml:space="preserve">В съответствие с Регламента за Механизма за възстановяване и устойчивост и съответно, за да е налице спазване на принципа за „ненанасяне на значителни вреди“, всички предвидени инвестиции от кандидатите (крайните получатели) по настоящата процедура, следва да не водят до значителни вреди за всеки един от горепосочените шест екологични цели. </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b/>
          <w:szCs w:val="20"/>
          <w:lang w:eastAsia="en-US"/>
        </w:rPr>
        <w:t>Важно:</w:t>
      </w:r>
      <w:r w:rsidRPr="00ED78BA">
        <w:rPr>
          <w:rFonts w:eastAsiaTheme="minorHAnsi"/>
          <w:szCs w:val="20"/>
          <w:lang w:eastAsia="en-US"/>
        </w:rPr>
        <w:t xml:space="preserve"> Съблюдаването на </w:t>
      </w:r>
      <w:r w:rsidRPr="00ED78BA">
        <w:rPr>
          <w:rFonts w:eastAsiaTheme="minorHAnsi"/>
          <w:b/>
          <w:szCs w:val="20"/>
          <w:lang w:eastAsia="en-US"/>
        </w:rPr>
        <w:t>принципа за „ненанасяне на значителни вреди“ ще се проследява и на етап изпълнение на проектите</w:t>
      </w:r>
      <w:r w:rsidRPr="00ED78BA">
        <w:rPr>
          <w:rFonts w:eastAsiaTheme="minorHAnsi"/>
          <w:szCs w:val="20"/>
          <w:lang w:eastAsia="en-US"/>
        </w:rPr>
        <w:t>, като за удостоверяване на съответствието на инвестицията с посочения принцип в края на проекта крайните получатели ще подлежат на контрол, който да удостовери съответствието на подкрепените дейности с тях.</w:t>
      </w:r>
    </w:p>
    <w:p w:rsidR="00ED78BA" w:rsidRPr="00ED78BA" w:rsidRDefault="00ED78BA" w:rsidP="00ED78BA">
      <w:pPr>
        <w:spacing w:before="120" w:line="312" w:lineRule="auto"/>
        <w:ind w:firstLine="709"/>
        <w:rPr>
          <w:rFonts w:eastAsiaTheme="minorHAnsi"/>
          <w:szCs w:val="20"/>
          <w:lang w:eastAsia="en-US"/>
        </w:rPr>
      </w:pPr>
      <w:r w:rsidRPr="00ED78BA">
        <w:rPr>
          <w:rFonts w:eastAsiaTheme="minorHAnsi"/>
          <w:szCs w:val="20"/>
          <w:lang w:eastAsia="en-US"/>
        </w:rPr>
        <w:t>Допълнителна информация относно прилагането на принципа за „ненанасяне на значителни вреди“,  може да бъде намерена в Регламента за таксономията и в Известие на Комисията – „Технически насоки за прилагането на принципа за „ненанасяне на значителни вреди“ съгласно Регламента за Механизма за възстановяване и устойчивост (2021/C58/01)“, както и в свързаните с тях документи.</w:t>
      </w:r>
    </w:p>
    <w:p w:rsidR="00ED78BA" w:rsidRPr="00ED78BA" w:rsidRDefault="00ED78BA" w:rsidP="00ED78BA">
      <w:pPr>
        <w:spacing w:before="120" w:line="312" w:lineRule="auto"/>
        <w:ind w:firstLine="709"/>
        <w:rPr>
          <w:rFonts w:eastAsiaTheme="minorHAnsi"/>
          <w:szCs w:val="20"/>
          <w:lang w:eastAsia="en-US"/>
        </w:rPr>
      </w:pPr>
    </w:p>
    <w:p w:rsidR="0090645D" w:rsidRPr="00ED78BA" w:rsidRDefault="0090645D" w:rsidP="00ED78BA">
      <w:pPr>
        <w:spacing w:before="120" w:line="312" w:lineRule="auto"/>
      </w:pPr>
    </w:p>
    <w:sectPr w:rsidR="0090645D" w:rsidRPr="00ED78BA" w:rsidSect="009311E4">
      <w:footerReference w:type="default" r:id="rId7"/>
      <w:headerReference w:type="first" r:id="rId8"/>
      <w:pgSz w:w="12240" w:h="15840"/>
      <w:pgMar w:top="1134" w:right="1041" w:bottom="1135"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F7" w:rsidRDefault="009272F7" w:rsidP="00A34D9F">
      <w:r>
        <w:separator/>
      </w:r>
    </w:p>
  </w:endnote>
  <w:endnote w:type="continuationSeparator" w:id="0">
    <w:p w:rsidR="009272F7" w:rsidRDefault="009272F7" w:rsidP="00A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04759"/>
      <w:docPartObj>
        <w:docPartGallery w:val="Page Numbers (Bottom of Page)"/>
        <w:docPartUnique/>
      </w:docPartObj>
    </w:sdtPr>
    <w:sdtEndPr>
      <w:rPr>
        <w:noProof/>
        <w:sz w:val="18"/>
      </w:rPr>
    </w:sdtEndPr>
    <w:sdtContent>
      <w:p w:rsidR="00A12C7F" w:rsidRPr="00A12C7F" w:rsidRDefault="00A12C7F">
        <w:pPr>
          <w:pStyle w:val="Footer"/>
          <w:jc w:val="right"/>
          <w:rPr>
            <w:sz w:val="18"/>
          </w:rPr>
        </w:pPr>
        <w:r w:rsidRPr="00A12C7F">
          <w:rPr>
            <w:sz w:val="18"/>
          </w:rPr>
          <w:fldChar w:fldCharType="begin"/>
        </w:r>
        <w:r w:rsidRPr="00A12C7F">
          <w:rPr>
            <w:sz w:val="18"/>
          </w:rPr>
          <w:instrText xml:space="preserve"> PAGE   \* MERGEFORMAT </w:instrText>
        </w:r>
        <w:r w:rsidRPr="00A12C7F">
          <w:rPr>
            <w:sz w:val="18"/>
          </w:rPr>
          <w:fldChar w:fldCharType="separate"/>
        </w:r>
        <w:r w:rsidR="006F7097">
          <w:rPr>
            <w:noProof/>
            <w:sz w:val="18"/>
          </w:rPr>
          <w:t>3</w:t>
        </w:r>
        <w:r w:rsidRPr="00A12C7F">
          <w:rPr>
            <w:noProof/>
            <w:sz w:val="18"/>
          </w:rPr>
          <w:fldChar w:fldCharType="end"/>
        </w:r>
      </w:p>
    </w:sdtContent>
  </w:sdt>
  <w:p w:rsidR="00A12C7F" w:rsidRDefault="00A1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F7" w:rsidRDefault="009272F7" w:rsidP="00A34D9F">
      <w:r>
        <w:separator/>
      </w:r>
    </w:p>
  </w:footnote>
  <w:footnote w:type="continuationSeparator" w:id="0">
    <w:p w:rsidR="009272F7" w:rsidRDefault="009272F7" w:rsidP="00A34D9F">
      <w:r>
        <w:continuationSeparator/>
      </w:r>
    </w:p>
  </w:footnote>
  <w:footnote w:id="1">
    <w:p w:rsidR="00ED78BA" w:rsidRPr="00F55A82" w:rsidRDefault="00ED78BA" w:rsidP="00ED78BA">
      <w:pPr>
        <w:pStyle w:val="FootnoteText"/>
        <w:rPr>
          <w:i/>
          <w:iCs/>
          <w:sz w:val="18"/>
          <w:szCs w:val="18"/>
        </w:rPr>
      </w:pPr>
      <w:r w:rsidRPr="00C161DD">
        <w:rPr>
          <w:rStyle w:val="FootnoteReference"/>
          <w:rFonts w:ascii="Times New Roman" w:hAnsi="Times New Roman"/>
        </w:rPr>
        <w:footnoteRef/>
      </w:r>
      <w:r w:rsidRPr="00C161DD">
        <w:rPr>
          <w:rFonts w:ascii="Times New Roman" w:hAnsi="Times New Roman"/>
        </w:rPr>
        <w:t xml:space="preserve"> </w:t>
      </w:r>
      <w:r w:rsidRPr="00F55A82">
        <w:rPr>
          <w:i/>
          <w:iCs/>
          <w:sz w:val="18"/>
          <w:szCs w:val="18"/>
        </w:rPr>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2">
    <w:p w:rsidR="00ED78BA" w:rsidRPr="00F55A82" w:rsidRDefault="00ED78BA" w:rsidP="00ED78BA">
      <w:pPr>
        <w:pStyle w:val="FootnoteText"/>
        <w:rPr>
          <w:i/>
          <w:iCs/>
          <w:sz w:val="18"/>
          <w:szCs w:val="18"/>
          <w:lang w:val="en-US"/>
        </w:rPr>
      </w:pPr>
      <w:r w:rsidRPr="00F55A82">
        <w:rPr>
          <w:rStyle w:val="FootnoteReference"/>
          <w:i/>
          <w:iCs/>
          <w:sz w:val="18"/>
          <w:szCs w:val="18"/>
        </w:rPr>
        <w:footnoteRef/>
      </w:r>
      <w:r w:rsidRPr="00F55A82">
        <w:rPr>
          <w:i/>
          <w:iCs/>
          <w:sz w:val="18"/>
          <w:szCs w:val="18"/>
        </w:rPr>
        <w:t xml:space="preserve"> Това изключение не се прилага за действия по тази мярка в съществуващи заводи за механично биологично третиране, при които действията по тази мярка са предназначени за повишаване на енергийната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доказателства за това се представят за всяка инсталация.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3" w:type="dxa"/>
      <w:tblInd w:w="-1310" w:type="dxa"/>
      <w:tblLook w:val="04A0" w:firstRow="1" w:lastRow="0" w:firstColumn="1" w:lastColumn="0" w:noHBand="0" w:noVBand="1"/>
    </w:tblPr>
    <w:tblGrid>
      <w:gridCol w:w="6238"/>
      <w:gridCol w:w="5245"/>
    </w:tblGrid>
    <w:tr w:rsidR="00A34D9F" w:rsidRPr="00675CF3" w:rsidTr="00BC3099">
      <w:trPr>
        <w:trHeight w:val="1843"/>
      </w:trPr>
      <w:tc>
        <w:tcPr>
          <w:tcW w:w="6238" w:type="dxa"/>
          <w:shd w:val="clear" w:color="auto" w:fill="auto"/>
        </w:tcPr>
        <w:p w:rsidR="00A34D9F" w:rsidRPr="00675CF3" w:rsidRDefault="00A34D9F" w:rsidP="00A34D9F">
          <w:pPr>
            <w:pStyle w:val="Header"/>
            <w:jc w:val="center"/>
          </w:pPr>
          <w:r>
            <w:rPr>
              <w:noProof/>
            </w:rPr>
            <w:drawing>
              <wp:inline distT="0" distB="0" distL="0" distR="0">
                <wp:extent cx="1582420" cy="1144905"/>
                <wp:effectExtent l="0" t="0" r="0" b="0"/>
                <wp:docPr id="17" name="Picture 17" descr="gerb_color_ME_bg_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olor_ME_bg_w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1144905"/>
                        </a:xfrm>
                        <a:prstGeom prst="rect">
                          <a:avLst/>
                        </a:prstGeom>
                        <a:noFill/>
                        <a:ln>
                          <a:noFill/>
                        </a:ln>
                      </pic:spPr>
                    </pic:pic>
                  </a:graphicData>
                </a:graphic>
              </wp:inline>
            </w:drawing>
          </w:r>
        </w:p>
      </w:tc>
      <w:tc>
        <w:tcPr>
          <w:tcW w:w="5245" w:type="dxa"/>
          <w:shd w:val="clear" w:color="auto" w:fill="auto"/>
          <w:vAlign w:val="center"/>
        </w:tcPr>
        <w:p w:rsidR="00A34D9F" w:rsidRPr="00675CF3" w:rsidRDefault="00A34D9F" w:rsidP="00A34D9F">
          <w:pPr>
            <w:pStyle w:val="Header"/>
            <w:jc w:val="center"/>
          </w:pPr>
          <w:r>
            <w:rPr>
              <w:noProof/>
            </w:rPr>
            <w:drawing>
              <wp:inline distT="0" distB="0" distL="0" distR="0">
                <wp:extent cx="2639695" cy="731520"/>
                <wp:effectExtent l="0" t="0" r="0" b="0"/>
                <wp:docPr id="18" name="Picture 18"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Финансирано от Европейския съюз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9695" cy="731520"/>
                        </a:xfrm>
                        <a:prstGeom prst="rect">
                          <a:avLst/>
                        </a:prstGeom>
                        <a:noFill/>
                        <a:ln>
                          <a:noFill/>
                        </a:ln>
                      </pic:spPr>
                    </pic:pic>
                  </a:graphicData>
                </a:graphic>
              </wp:inline>
            </w:drawing>
          </w:r>
        </w:p>
      </w:tc>
    </w:tr>
  </w:tbl>
  <w:p w:rsidR="00A34D9F" w:rsidRDefault="00A34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7A4"/>
    <w:multiLevelType w:val="hybridMultilevel"/>
    <w:tmpl w:val="95042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E44CA0"/>
    <w:multiLevelType w:val="hybridMultilevel"/>
    <w:tmpl w:val="D53A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88374A"/>
    <w:multiLevelType w:val="hybridMultilevel"/>
    <w:tmpl w:val="85F6A262"/>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3" w15:restartNumberingAfterBreak="0">
    <w:nsid w:val="35094E27"/>
    <w:multiLevelType w:val="hybridMultilevel"/>
    <w:tmpl w:val="AC4C7D16"/>
    <w:lvl w:ilvl="0" w:tplc="D8C45F3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55D49"/>
    <w:multiLevelType w:val="hybridMultilevel"/>
    <w:tmpl w:val="13867746"/>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5" w15:restartNumberingAfterBreak="0">
    <w:nsid w:val="62674E39"/>
    <w:multiLevelType w:val="multilevel"/>
    <w:tmpl w:val="9E1077AC"/>
    <w:lvl w:ilvl="0">
      <w:start w:val="1"/>
      <w:numFmt w:val="decimal"/>
      <w:lvlText w:val="%1."/>
      <w:lvlJc w:val="left"/>
      <w:pPr>
        <w:ind w:left="1068" w:hanging="360"/>
      </w:pPr>
      <w:rPr>
        <w:rFonts w:hint="default"/>
        <w:b/>
        <w:sz w:val="20"/>
        <w:szCs w:val="20"/>
      </w:rPr>
    </w:lvl>
    <w:lvl w:ilvl="1">
      <w:start w:val="1"/>
      <w:numFmt w:val="decimal"/>
      <w:isLgl/>
      <w:lvlText w:val="%1.%2."/>
      <w:lvlJc w:val="left"/>
      <w:pPr>
        <w:ind w:left="1068" w:hanging="360"/>
      </w:pPr>
      <w:rPr>
        <w:rFonts w:hint="default"/>
        <w:b w:val="0"/>
        <w:i/>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6" w15:restartNumberingAfterBreak="0">
    <w:nsid w:val="7E525F08"/>
    <w:multiLevelType w:val="hybridMultilevel"/>
    <w:tmpl w:val="E0FEF8F8"/>
    <w:lvl w:ilvl="0" w:tplc="312E01E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D4"/>
    <w:rsid w:val="000115B9"/>
    <w:rsid w:val="00021591"/>
    <w:rsid w:val="00046DD0"/>
    <w:rsid w:val="0005686F"/>
    <w:rsid w:val="0008694B"/>
    <w:rsid w:val="000C2FDF"/>
    <w:rsid w:val="000D1420"/>
    <w:rsid w:val="000E0E61"/>
    <w:rsid w:val="000E28A0"/>
    <w:rsid w:val="000E5C60"/>
    <w:rsid w:val="0011624A"/>
    <w:rsid w:val="001226BD"/>
    <w:rsid w:val="00183F07"/>
    <w:rsid w:val="001A4A12"/>
    <w:rsid w:val="002443A7"/>
    <w:rsid w:val="00246B62"/>
    <w:rsid w:val="00270B7C"/>
    <w:rsid w:val="0027659E"/>
    <w:rsid w:val="00282D58"/>
    <w:rsid w:val="002844C5"/>
    <w:rsid w:val="002A244C"/>
    <w:rsid w:val="002D48C1"/>
    <w:rsid w:val="00312E1D"/>
    <w:rsid w:val="00320B72"/>
    <w:rsid w:val="00325080"/>
    <w:rsid w:val="00340E9F"/>
    <w:rsid w:val="00356D99"/>
    <w:rsid w:val="0039258D"/>
    <w:rsid w:val="003D11FA"/>
    <w:rsid w:val="003D794F"/>
    <w:rsid w:val="003E2D5C"/>
    <w:rsid w:val="003F7457"/>
    <w:rsid w:val="004044BF"/>
    <w:rsid w:val="00412AA1"/>
    <w:rsid w:val="0042628B"/>
    <w:rsid w:val="00436232"/>
    <w:rsid w:val="004557E4"/>
    <w:rsid w:val="00457B20"/>
    <w:rsid w:val="00477721"/>
    <w:rsid w:val="00495708"/>
    <w:rsid w:val="004A65C6"/>
    <w:rsid w:val="004D5A88"/>
    <w:rsid w:val="004E1612"/>
    <w:rsid w:val="004E39AB"/>
    <w:rsid w:val="004F0AD8"/>
    <w:rsid w:val="005261CF"/>
    <w:rsid w:val="0055161D"/>
    <w:rsid w:val="00557957"/>
    <w:rsid w:val="005635A0"/>
    <w:rsid w:val="005732FE"/>
    <w:rsid w:val="00575E4B"/>
    <w:rsid w:val="00577610"/>
    <w:rsid w:val="005957FE"/>
    <w:rsid w:val="005E068B"/>
    <w:rsid w:val="005F71E6"/>
    <w:rsid w:val="006242D3"/>
    <w:rsid w:val="00624497"/>
    <w:rsid w:val="006257BF"/>
    <w:rsid w:val="00690C85"/>
    <w:rsid w:val="00697B08"/>
    <w:rsid w:val="006A0795"/>
    <w:rsid w:val="006B6ED4"/>
    <w:rsid w:val="006F7097"/>
    <w:rsid w:val="006F71FB"/>
    <w:rsid w:val="00706653"/>
    <w:rsid w:val="00717214"/>
    <w:rsid w:val="00747898"/>
    <w:rsid w:val="007929A2"/>
    <w:rsid w:val="007A3E4C"/>
    <w:rsid w:val="007D35A7"/>
    <w:rsid w:val="007E5B8F"/>
    <w:rsid w:val="00801C1C"/>
    <w:rsid w:val="00813209"/>
    <w:rsid w:val="0081414E"/>
    <w:rsid w:val="008239DA"/>
    <w:rsid w:val="0084291D"/>
    <w:rsid w:val="008450E3"/>
    <w:rsid w:val="00856C99"/>
    <w:rsid w:val="00884662"/>
    <w:rsid w:val="008B1778"/>
    <w:rsid w:val="008B51E5"/>
    <w:rsid w:val="008C61A0"/>
    <w:rsid w:val="008E5197"/>
    <w:rsid w:val="008E5B9F"/>
    <w:rsid w:val="00901042"/>
    <w:rsid w:val="0090645D"/>
    <w:rsid w:val="009272F7"/>
    <w:rsid w:val="0093082C"/>
    <w:rsid w:val="009311E4"/>
    <w:rsid w:val="009343D5"/>
    <w:rsid w:val="00934801"/>
    <w:rsid w:val="009531BA"/>
    <w:rsid w:val="00953E33"/>
    <w:rsid w:val="009649F9"/>
    <w:rsid w:val="009735B0"/>
    <w:rsid w:val="009C04C3"/>
    <w:rsid w:val="009E2150"/>
    <w:rsid w:val="009F37DD"/>
    <w:rsid w:val="00A01C66"/>
    <w:rsid w:val="00A066F3"/>
    <w:rsid w:val="00A12C7F"/>
    <w:rsid w:val="00A16164"/>
    <w:rsid w:val="00A34D9F"/>
    <w:rsid w:val="00A712D9"/>
    <w:rsid w:val="00A74BC0"/>
    <w:rsid w:val="00A856FD"/>
    <w:rsid w:val="00A87F5E"/>
    <w:rsid w:val="00A93672"/>
    <w:rsid w:val="00AA7CDE"/>
    <w:rsid w:val="00AD5B42"/>
    <w:rsid w:val="00B24728"/>
    <w:rsid w:val="00B27D3D"/>
    <w:rsid w:val="00B35D9D"/>
    <w:rsid w:val="00B41B90"/>
    <w:rsid w:val="00B4305D"/>
    <w:rsid w:val="00B50FCA"/>
    <w:rsid w:val="00B51566"/>
    <w:rsid w:val="00B631CA"/>
    <w:rsid w:val="00B771C9"/>
    <w:rsid w:val="00BA1CEB"/>
    <w:rsid w:val="00BB2EF8"/>
    <w:rsid w:val="00BC01A4"/>
    <w:rsid w:val="00C04662"/>
    <w:rsid w:val="00C364A4"/>
    <w:rsid w:val="00C42F8D"/>
    <w:rsid w:val="00C435F5"/>
    <w:rsid w:val="00C4649C"/>
    <w:rsid w:val="00C54684"/>
    <w:rsid w:val="00CA52C1"/>
    <w:rsid w:val="00CC2033"/>
    <w:rsid w:val="00D2558B"/>
    <w:rsid w:val="00D267DE"/>
    <w:rsid w:val="00D31DC7"/>
    <w:rsid w:val="00D36202"/>
    <w:rsid w:val="00D369F6"/>
    <w:rsid w:val="00D50E03"/>
    <w:rsid w:val="00D56FA6"/>
    <w:rsid w:val="00D80487"/>
    <w:rsid w:val="00D8290D"/>
    <w:rsid w:val="00D95371"/>
    <w:rsid w:val="00D96E5F"/>
    <w:rsid w:val="00DA6E53"/>
    <w:rsid w:val="00DD4BD2"/>
    <w:rsid w:val="00DE3C4B"/>
    <w:rsid w:val="00DF5A1F"/>
    <w:rsid w:val="00DF75C0"/>
    <w:rsid w:val="00E0462A"/>
    <w:rsid w:val="00E05253"/>
    <w:rsid w:val="00E06397"/>
    <w:rsid w:val="00E12D99"/>
    <w:rsid w:val="00E37C7E"/>
    <w:rsid w:val="00E52B41"/>
    <w:rsid w:val="00E53499"/>
    <w:rsid w:val="00E93254"/>
    <w:rsid w:val="00EA6869"/>
    <w:rsid w:val="00ED78BA"/>
    <w:rsid w:val="00F55C8E"/>
    <w:rsid w:val="00F80698"/>
    <w:rsid w:val="00F81E44"/>
    <w:rsid w:val="00F851AE"/>
    <w:rsid w:val="00F91425"/>
    <w:rsid w:val="00F927DE"/>
    <w:rsid w:val="00F96B61"/>
    <w:rsid w:val="00FE2F8F"/>
    <w:rsid w:val="00FE4ED0"/>
    <w:rsid w:val="00FF094F"/>
    <w:rsid w:val="00FF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B143A-AD6D-492B-AA3E-80C6AD10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8F"/>
    <w:pPr>
      <w:spacing w:after="0" w:line="240" w:lineRule="auto"/>
      <w:jc w:val="both"/>
    </w:pPr>
    <w:rPr>
      <w:rFonts w:ascii="Verdana" w:eastAsia="Times New Roman" w:hAnsi="Verdana" w:cs="Times New Roman"/>
      <w:sz w:val="20"/>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6ED4"/>
    <w:pPr>
      <w:spacing w:before="100" w:beforeAutospacing="1" w:after="100" w:afterAutospacing="1"/>
    </w:pPr>
  </w:style>
  <w:style w:type="character" w:customStyle="1" w:styleId="spelle">
    <w:name w:val="spelle"/>
    <w:basedOn w:val="DefaultParagraphFont"/>
    <w:rsid w:val="006B6ED4"/>
  </w:style>
  <w:style w:type="paragraph" w:styleId="BalloonText">
    <w:name w:val="Balloon Text"/>
    <w:basedOn w:val="Normal"/>
    <w:link w:val="BalloonTextChar"/>
    <w:uiPriority w:val="99"/>
    <w:semiHidden/>
    <w:unhideWhenUsed/>
    <w:rsid w:val="00246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2"/>
    <w:rPr>
      <w:rFonts w:ascii="Segoe UI" w:eastAsia="Times New Roman" w:hAnsi="Segoe UI" w:cs="Segoe UI"/>
      <w:sz w:val="18"/>
      <w:szCs w:val="18"/>
      <w:lang w:val="bg-BG" w:eastAsia="bg-BG"/>
    </w:rPr>
  </w:style>
  <w:style w:type="paragraph" w:styleId="Header">
    <w:name w:val="header"/>
    <w:basedOn w:val="Normal"/>
    <w:link w:val="HeaderChar"/>
    <w:uiPriority w:val="99"/>
    <w:unhideWhenUsed/>
    <w:rsid w:val="00A34D9F"/>
    <w:pPr>
      <w:tabs>
        <w:tab w:val="center" w:pos="4536"/>
        <w:tab w:val="right" w:pos="9072"/>
      </w:tabs>
    </w:pPr>
  </w:style>
  <w:style w:type="character" w:customStyle="1" w:styleId="HeaderChar">
    <w:name w:val="Header Char"/>
    <w:basedOn w:val="DefaultParagraphFont"/>
    <w:link w:val="Header"/>
    <w:uiPriority w:val="99"/>
    <w:rsid w:val="00A34D9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A34D9F"/>
    <w:pPr>
      <w:tabs>
        <w:tab w:val="center" w:pos="4536"/>
        <w:tab w:val="right" w:pos="9072"/>
      </w:tabs>
    </w:pPr>
  </w:style>
  <w:style w:type="character" w:customStyle="1" w:styleId="FooterChar">
    <w:name w:val="Footer Char"/>
    <w:basedOn w:val="DefaultParagraphFont"/>
    <w:link w:val="Footer"/>
    <w:uiPriority w:val="99"/>
    <w:rsid w:val="00A34D9F"/>
    <w:rPr>
      <w:rFonts w:ascii="Times New Roman" w:eastAsia="Times New Roman" w:hAnsi="Times New Roman" w:cs="Times New Roman"/>
      <w:sz w:val="24"/>
      <w:szCs w:val="24"/>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qFormat/>
    <w:rsid w:val="00046DD0"/>
    <w:rPr>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46DD0"/>
    <w:rPr>
      <w:rFonts w:ascii="Times New Roman" w:eastAsia="Times New Roman"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046DD0"/>
    <w:rPr>
      <w:vertAlign w:val="superscript"/>
    </w:rPr>
  </w:style>
  <w:style w:type="paragraph" w:customStyle="1" w:styleId="Style10">
    <w:name w:val="Style10"/>
    <w:basedOn w:val="Normal"/>
    <w:uiPriority w:val="99"/>
    <w:rsid w:val="00801C1C"/>
    <w:pPr>
      <w:widowControl w:val="0"/>
      <w:autoSpaceDE w:val="0"/>
      <w:autoSpaceDN w:val="0"/>
      <w:adjustRightInd w:val="0"/>
      <w:spacing w:line="283" w:lineRule="exact"/>
      <w:jc w:val="left"/>
    </w:pPr>
    <w:rPr>
      <w:rFonts w:ascii="Times New Roman" w:hAnsi="Times New Roman"/>
      <w:sz w:val="24"/>
    </w:rPr>
  </w:style>
  <w:style w:type="paragraph" w:styleId="ListParagraph">
    <w:name w:val="List Paragraph"/>
    <w:basedOn w:val="Normal"/>
    <w:uiPriority w:val="34"/>
    <w:qFormat/>
    <w:rsid w:val="00A16164"/>
    <w:pPr>
      <w:ind w:left="720"/>
      <w:contextualSpacing/>
    </w:pPr>
  </w:style>
  <w:style w:type="character" w:styleId="Hyperlink">
    <w:name w:val="Hyperlink"/>
    <w:basedOn w:val="DefaultParagraphFont"/>
    <w:uiPriority w:val="99"/>
    <w:unhideWhenUsed/>
    <w:rsid w:val="00B51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Ния Иванова</dc:creator>
  <cp:keywords/>
  <dc:description/>
  <cp:lastModifiedBy>Alexandrina</cp:lastModifiedBy>
  <cp:revision>2</cp:revision>
  <cp:lastPrinted>2022-10-24T11:49:00Z</cp:lastPrinted>
  <dcterms:created xsi:type="dcterms:W3CDTF">2022-11-30T11:03:00Z</dcterms:created>
  <dcterms:modified xsi:type="dcterms:W3CDTF">2022-11-30T11:03:00Z</dcterms:modified>
</cp:coreProperties>
</file>